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C3045E" w:rsidRDefault="00C3045E" w:rsidP="00C3045E">
      <w:pPr>
        <w:tabs>
          <w:tab w:val="left" w:pos="14656"/>
        </w:tabs>
        <w:overflowPunct w:val="0"/>
        <w:jc w:val="center"/>
        <w:textAlignment w:val="baseline"/>
        <w:rPr>
          <w:b/>
          <w:lang w:eastAsia="lt-LT"/>
        </w:rPr>
      </w:pPr>
      <w:bookmarkStart w:id="2" w:name="_GoBack"/>
      <w:bookmarkEnd w:id="2"/>
      <w:r>
        <w:rPr>
          <w:b/>
          <w:lang w:eastAsia="lt-LT"/>
        </w:rPr>
        <w:t xml:space="preserve">KLAIPĖDOS ,,GABIJOS“ PROGIMNAZIJOS 2021 METŲ VEIKLOS ATASKAITA </w:t>
      </w:r>
    </w:p>
    <w:p w:rsidR="00C3045E" w:rsidRDefault="00C3045E" w:rsidP="00C3045E">
      <w:pPr>
        <w:jc w:val="center"/>
      </w:pPr>
    </w:p>
    <w:p w:rsidR="00C3045E" w:rsidRDefault="00C3045E" w:rsidP="00C3045E">
      <w:pPr>
        <w:jc w:val="center"/>
      </w:pPr>
    </w:p>
    <w:p w:rsidR="00C3045E" w:rsidRDefault="00C3045E" w:rsidP="00C3045E">
      <w:pPr>
        <w:ind w:firstLine="567"/>
        <w:jc w:val="both"/>
        <w:rPr>
          <w:lang w:eastAsia="lt-LT"/>
        </w:rPr>
      </w:pPr>
      <w:r>
        <w:rPr>
          <w:lang w:eastAsia="lt-LT"/>
        </w:rPr>
        <w:t xml:space="preserve">Klaipėdos „Gabijos“ progimnazija (toliau – progimnazija) įgyvendina pradinio ugdymo, pagrindinio ugdymo pirmos dalies, ugdymo šeimoje, neformaliojo vaikų švietimo programas ir užtikrina švietimo pagalbos teikimą mokiniams. 2021-09-01 duomenimis progimnazijoje ugdyti 425 mokiniai (2020 m. – 429), iš jų 190 mokinių 1–4 klasėse, 235 mokiniai 5–8 klasėse. Dirbo 64 darbuotojai, iš kurių 45 pedagoginiai darbuotojai, t. y. 43,37 etato (2020 m. – 43,45 etato), ir 19 nepedagoginių darbuotojų, t. y. 17,42 etato (2020 m. – 16,42 etato). </w:t>
      </w:r>
    </w:p>
    <w:p w:rsidR="00C3045E" w:rsidRDefault="00C3045E" w:rsidP="00C3045E">
      <w:pPr>
        <w:ind w:firstLine="567"/>
        <w:jc w:val="both"/>
        <w:rPr>
          <w:lang w:eastAsia="lt-LT"/>
        </w:rPr>
      </w:pPr>
      <w:r>
        <w:rPr>
          <w:lang w:eastAsia="lt-LT"/>
        </w:rPr>
        <w:t>Praėjusiais metais progimnazija veikė vadovaudamasi 2021–2023 m. strateginiu planu (toliau – Strateginis planas) ir 2021 m. veiklos planu (toliau – Veiklos planas).</w:t>
      </w:r>
    </w:p>
    <w:p w:rsidR="00C3045E" w:rsidRDefault="00C3045E" w:rsidP="00C3045E">
      <w:pPr>
        <w:ind w:firstLine="567"/>
        <w:jc w:val="both"/>
        <w:rPr>
          <w:lang w:eastAsia="lt-LT"/>
        </w:rPr>
      </w:pPr>
      <w:r>
        <w:rPr>
          <w:lang w:eastAsia="lt-LT"/>
        </w:rPr>
        <w:t>Progimnazijos bendruomenė 2021 m. išsikėlė prioritetinę veiklos kryptį – progimnazijos bendruomenės skaitmeninio raštingumo tobulinimą. Metiniai veiklos tikslai – kokybiškas virtualių ir nuotoliniam mokymui(si) skirtų platformų naudojimas progimnazijos veikloje ir socialinio-emocinio intelekto ugdymo efektyvinimas progimnazijoje. Siekė tokių Strateginio plano tikslų: s</w:t>
      </w:r>
      <w:r>
        <w:rPr>
          <w:bCs/>
          <w:lang w:eastAsia="lt-LT"/>
        </w:rPr>
        <w:t>udaryti sąlygas aukštos kokybės ugdymo(si) procesui organizuoti ir pagalbą mokiniui teikti bei kurti pozityvią emocinę progimnazijos aplinką.</w:t>
      </w:r>
    </w:p>
    <w:p w:rsidR="00C3045E" w:rsidRDefault="00C3045E" w:rsidP="00C3045E">
      <w:pPr>
        <w:ind w:firstLine="567"/>
        <w:jc w:val="both"/>
        <w:rPr>
          <w:lang w:eastAsia="lt-LT"/>
        </w:rPr>
      </w:pPr>
      <w:r>
        <w:rPr>
          <w:lang w:eastAsia="lt-LT"/>
        </w:rPr>
        <w:t>Siekiant įgyvendinti išsikeltą Veiklos plano tikslą – kokybiškas virtualių ir nuotoliniam mokymui(si) skirtų platformų naudojimas progimnazijos veikloje – 100 proc. progimnazijos pedagoginių darbuotojų ir mokinių naudojosi  įsigyta „Microsoft 365“ programa, kuri padėjo tinkamai organizuoti nuotolinį ugdymo procesą, kitas suplanuotas veiklas. Programos „Microsoft 365“ dalis „Teams“ suteikė galimybę progimnazijos bendruomenei saugiai ir efektyviai bendrauti ir bendradarbiauti. Šios programos aplinkoje vyko nuotolinis ugdymas(is), hibridinis ugdymas, individualios ir grupinės konsultacijos, mokytojų susirinkimai, tėvų susitikimai su mokytojais, savivaldos organų susitikimai, klasių ir visos bendruomenės renginiai, susitikimai su socialiniais partneriais. Grįžus mokytis į progimnaziją „Teams“ programa naudojama savivaldos susitikimams, individualioms konsultacijoms, mokytojų susirinkimams, klasių valandėlėms, individualiems susitikimams. Progimnazija siekė, kad kiekvienas mokinys turėtų galimybę naudotis įvairiomis virtualiomis mokymosi priemonėmis. Įsigijo virtualios bibliotekos „Vyturys.lt“ licencijas kiekvienam mokiniui, „EMA pratybų“ gamtos, biologijos, geografijos, matematikos, lietuvių kalbos licencijas 5–8 klasių mokiniams, edukacinės prezentacijų programinės įrangos interaktyviesiems ekranams „Mozabook“ licencijas. Pagerėjo mokinių mokymosi pasiekimų bendras vidurkis: 2020–2021 m. m. buvo 7,77 balo (2019–2020 m. m. – 7,74 balo). Mokytojai skaitmeninio turinio naudojimo mokymuose išmoko naudotis ir savo veikloje aktyviai taiko tokius skaitmeninius išteklius: internetinį įrankį „</w:t>
      </w:r>
      <w:r>
        <w:rPr>
          <w:i/>
          <w:iCs/>
          <w:lang w:eastAsia="lt-LT"/>
        </w:rPr>
        <w:t xml:space="preserve">Kahoot“, </w:t>
      </w:r>
      <w:r>
        <w:rPr>
          <w:lang w:eastAsia="lt-LT"/>
        </w:rPr>
        <w:t>mokinių elgesio, veiklos ir pasiekimų fiksavimo bei stebėjimo įrankį „ClassDojo", platformą „learningapps.org“, bendravimo aplinką „padlet.com“, teksto stiliaus programą  „WordArt.com“, mokomųjų žaidimų programas „Blockly Games“, „Logic Like“,  animacijų kūrimo programą „Wick Editor“, testų kūrimo programą „Socrative“ ir kitas. Siekdami gerinti skaitmeninio ugdymo turinio kūrimo ir naudojimo kompetencijas 46,7 proc. mokytojų dalyvavo 9 mokymuose. Dėl įvairių skaitmeninių išteklių naudojimo gerėjo ugdymo proceso kokybė, ugdymo proceso prieinamumas kiekvienam mokiniui, buvo užtikrintas ugdymas mokiniams, esantiems saviizoliacijoje ar sergantiems lengva COVID-19 ligos forma.</w:t>
      </w:r>
    </w:p>
    <w:p w:rsidR="00C3045E" w:rsidRDefault="00C3045E" w:rsidP="00C3045E">
      <w:pPr>
        <w:ind w:firstLine="567"/>
        <w:jc w:val="both"/>
        <w:rPr>
          <w:lang w:eastAsia="lt-LT"/>
        </w:rPr>
      </w:pPr>
      <w:r>
        <w:rPr>
          <w:lang w:eastAsia="lt-LT"/>
        </w:rPr>
        <w:t xml:space="preserve">Siekiant įgyvendinti Strateginio plano tikslą – pozityvios emocinės aplinkos kūrimas progimnazijoje – ir Veiklos plano tikslą – efektyvinti socialinio-emocinio intelekto ugdymą –  progimnazijos pedagogai pirmiausia patys mokėsi, kad įgytų pakankamai žinių ir gebėjimų apie palankios socialinės-emocinės aplinkos kūrimą progimnazijoje, apie socialinio-emocinio intelekto svarbą ugdymo procese. 39 progimnazijos pedagogai dalyvavo seminare „Aukšta vidinė ir </w:t>
      </w:r>
      <w:r>
        <w:rPr>
          <w:lang w:eastAsia="lt-LT"/>
        </w:rPr>
        <w:lastRenderedPageBreak/>
        <w:t>tarpasmeninė emocinė kultūra“, kuriame patobulino asmeninės komunikacijos, saugios, atviros ugdymosi aplinkos kūrimo bei mokinių raidos ypatumų suvokimo kompetencijas. Mokytojai savo kompetencijas socialinio-emocinio intelekto srityje dar tobulino šiuose mokymuose: „Emocinis intelektas. Šiuolaikinis valdymo instrumentas“, „Ugdymas ir psichologija“, „Mokinių kritinio mąstymo ir problemų sprendimo gebėjimai ir jų vertinimas“. Įgytas žinias ir gebėjimus mokytojai taikė praktinėje veikloje. Klasių vadovai organizavo ne mažiau kaip po 3 klasių valandėles, susijusias su socialinio-emocinio intelekto ugdymu – vyko pokalbiai, diskusijos, tyrimai ir jų aptarimas, socialiniai užsiėmimai. Klasių valandėlėse aptartos temos: „Mano vertybių skalė“, „Ar galima būti laisvam be atsakomybės?“, „Emocijos ir elgesys“, „Konfliktas ir sprendimo būdai“, „Klasės mikroklimato tyrimas ir aptarimas“ ir kitos. Progimnazijos mokytojai kartu su mokiniais dalyvavo kūrybiško mokymosi programoje „Tyrinėjimo menas: partnerystė kuriančioms mokykloms“. Programos „Tyrinėjimo menas: partnerystė kuriančioms mokykloms“ mokytojų klubo užsiėmimuose progimnazijos mokytojai tobulino kompetenciją ugdyti svarbiausius XXI amžiaus gebėjimus: kritiškai, savarankiškai mąstyti ir spręsti problemas, bendradarbiauti įvairiose komandose ir efektyviai komunikuoti su skirtingais žmonėmis, kūrybiškumą ir vaizduotę, lyderystę, iniciatyvumą ir asmeninį augimą. Programos „Tyrinėjimo menas: partnerystė kuriančioms mokykloms“ užsiėmimų metu suteiktos žinios ir gebėjimai labai padėjo mokytojams sėkmingiau kurti palankią mokymosi aplinką mokiniams. Buvo organizuotos integruotos pamokos: geografijos ir anglų kalbos, etikos ir fizinio ugdymo, dailės, anglų kalbos, lietuvių kalbos ir fizinio ugdymo. Integruotose pamokose mokiniai buvo labai aktyvūs, reiškėsi jų kūrybiškumas, bendravimo ir bendradarbiavimo gebėjimai, emocinė aplinka šiose pamokose buvo palanki aktyviam darbui ir mokinių saviraiškai. Įgyvendinus numatytus tikslus ir uždavinius pagerėjo emocinė aplinka progimnazijoje. 2021 metais buvo fiksuoti 14 atvejų dėl kylančių konfliktų (2020 metais tokių atvejų buvo 19).</w:t>
      </w:r>
    </w:p>
    <w:p w:rsidR="00C3045E" w:rsidRDefault="00C3045E" w:rsidP="00C3045E">
      <w:pPr>
        <w:ind w:firstLine="567"/>
        <w:jc w:val="both"/>
        <w:rPr>
          <w:lang w:eastAsia="lt-LT"/>
        </w:rPr>
      </w:pPr>
      <w:r>
        <w:rPr>
          <w:lang w:eastAsia="lt-LT"/>
        </w:rPr>
        <w:t>Siekiant strateginio plano tikslo – s</w:t>
      </w:r>
      <w:r>
        <w:rPr>
          <w:bCs/>
          <w:lang w:eastAsia="lt-LT"/>
        </w:rPr>
        <w:t>udaryti sąlygas aukštos kokybės ugdymo(si) procesui organizuoti ir pagalbą mokiniui teikti – progimnazijoje s</w:t>
      </w:r>
      <w:r>
        <w:rPr>
          <w:lang w:eastAsia="lt-LT"/>
        </w:rPr>
        <w:t>pecialiųjų poreikių mokiniams pagalbą teikė specialistų komanda (psichologas, specialusis pedagogas, logopedas, socialinis pedagogas, 5 mokytojo padėjėjai). 2020–2021 m. m. 100 proc. specialiųjų poreikių mokinių padarė pažangą ir buvo perkelti į aukštesnę klasę (2019–2020 m. m. – 97,1 proc.).</w:t>
      </w:r>
    </w:p>
    <w:p w:rsidR="00C3045E" w:rsidRDefault="00C3045E" w:rsidP="00C3045E">
      <w:pPr>
        <w:ind w:firstLine="567"/>
        <w:jc w:val="both"/>
        <w:rPr>
          <w:lang w:eastAsia="lt-LT"/>
        </w:rPr>
      </w:pPr>
      <w:r>
        <w:rPr>
          <w:lang w:eastAsia="lt-LT"/>
        </w:rPr>
        <w:t>Klaipėdos miesto savivaldybei skyrus lėšas, progimnazijoje visoms pradinėms klasėms (8 klasės) ir vienai pagrindinio ugdymo klasei (5 klasei) nupirkta hibridinės klasės įranga. Kiekvienoje iš šių klasių yra interaktyvus ekranas, garso įranga, nešiojamas kompiuteris, vaizdo kamera. Materialinę bazę papildė 3 grafinės planšetės, 7 planšetiniai kompiuteriai, 3 nešiojami kompiuteriai. Bibliotekos fondas atnaujintas už 6696 Eur, įsigyta 424 vnt. vadovėlių (2020 m. – 375 vnt.)</w:t>
      </w:r>
    </w:p>
    <w:p w:rsidR="00C3045E" w:rsidRDefault="00C3045E" w:rsidP="00C3045E">
      <w:pPr>
        <w:ind w:firstLine="567"/>
        <w:jc w:val="both"/>
        <w:rPr>
          <w:lang w:eastAsia="lt-LT"/>
        </w:rPr>
      </w:pPr>
    </w:p>
    <w:p w:rsidR="00C3045E" w:rsidRDefault="00C3045E" w:rsidP="00C3045E">
      <w:pPr>
        <w:ind w:firstLine="567"/>
        <w:jc w:val="both"/>
        <w:rPr>
          <w:lang w:eastAsia="lt-LT"/>
        </w:rPr>
      </w:pPr>
      <w:r>
        <w:rPr>
          <w:lang w:eastAsia="lt-LT"/>
        </w:rPr>
        <w:t>2021 m. progimnazijos finansinė situacija buvo tokia:</w:t>
      </w:r>
    </w:p>
    <w:tbl>
      <w:tblPr>
        <w:tblStyle w:val="Lentelstinklelis1"/>
        <w:tblW w:w="0" w:type="auto"/>
        <w:tblInd w:w="167" w:type="dxa"/>
        <w:tblLook w:val="04A0" w:firstRow="1" w:lastRow="0" w:firstColumn="1" w:lastColumn="0" w:noHBand="0" w:noVBand="1"/>
      </w:tblPr>
      <w:tblGrid>
        <w:gridCol w:w="2197"/>
        <w:gridCol w:w="1494"/>
        <w:gridCol w:w="1438"/>
        <w:gridCol w:w="1283"/>
        <w:gridCol w:w="3168"/>
      </w:tblGrid>
      <w:tr w:rsidR="00C3045E" w:rsidTr="00C3045E">
        <w:tc>
          <w:tcPr>
            <w:tcW w:w="2197" w:type="dxa"/>
            <w:vMerge w:val="restart"/>
            <w:tcBorders>
              <w:top w:val="single" w:sz="4" w:space="0" w:color="auto"/>
              <w:left w:val="single" w:sz="4" w:space="0" w:color="auto"/>
              <w:bottom w:val="single" w:sz="4" w:space="0" w:color="auto"/>
              <w:right w:val="single" w:sz="4" w:space="0" w:color="auto"/>
            </w:tcBorders>
            <w:hideMark/>
          </w:tcPr>
          <w:p w:rsidR="00C3045E" w:rsidRDefault="00C3045E">
            <w:pPr>
              <w:jc w:val="center"/>
              <w:rPr>
                <w:color w:val="000000"/>
                <w:lang w:eastAsia="lt-LT"/>
              </w:rPr>
            </w:pPr>
            <w:r>
              <w:rPr>
                <w:color w:val="000000"/>
                <w:lang w:eastAsia="lt-LT"/>
              </w:rP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C3045E" w:rsidRDefault="00C3045E">
            <w:pPr>
              <w:jc w:val="center"/>
              <w:rPr>
                <w:color w:val="000000"/>
                <w:lang w:eastAsia="lt-LT"/>
              </w:rPr>
            </w:pPr>
            <w:r>
              <w:rPr>
                <w:color w:val="000000"/>
                <w:lang w:eastAsia="lt-LT"/>
              </w:rPr>
              <w:t>Lėšos (tūkst. eurų)</w:t>
            </w:r>
          </w:p>
        </w:tc>
        <w:tc>
          <w:tcPr>
            <w:tcW w:w="3168" w:type="dxa"/>
            <w:vMerge w:val="restart"/>
            <w:tcBorders>
              <w:top w:val="single" w:sz="4" w:space="0" w:color="auto"/>
              <w:left w:val="single" w:sz="4" w:space="0" w:color="auto"/>
              <w:bottom w:val="single" w:sz="4" w:space="0" w:color="auto"/>
              <w:right w:val="single" w:sz="4" w:space="0" w:color="auto"/>
            </w:tcBorders>
          </w:tcPr>
          <w:p w:rsidR="00C3045E" w:rsidRDefault="00C3045E">
            <w:pPr>
              <w:jc w:val="both"/>
              <w:rPr>
                <w:color w:val="000000"/>
                <w:lang w:eastAsia="lt-LT"/>
              </w:rPr>
            </w:pPr>
            <w:r>
              <w:rPr>
                <w:color w:val="000000"/>
                <w:lang w:eastAsia="lt-LT"/>
              </w:rPr>
              <w:t>Pastabos</w:t>
            </w:r>
          </w:p>
          <w:p w:rsidR="00C3045E" w:rsidRDefault="00C3045E">
            <w:pPr>
              <w:jc w:val="center"/>
              <w:rPr>
                <w:color w:val="000000"/>
                <w:lang w:eastAsia="lt-LT"/>
              </w:rPr>
            </w:pPr>
          </w:p>
        </w:tc>
      </w:tr>
      <w:tr w:rsidR="00C3045E" w:rsidTr="00C3045E">
        <w:tc>
          <w:tcPr>
            <w:tcW w:w="0" w:type="auto"/>
            <w:vMerge/>
            <w:tcBorders>
              <w:top w:val="single" w:sz="4" w:space="0" w:color="auto"/>
              <w:left w:val="single" w:sz="4" w:space="0" w:color="auto"/>
              <w:bottom w:val="single" w:sz="4" w:space="0" w:color="auto"/>
              <w:right w:val="single" w:sz="4" w:space="0" w:color="auto"/>
            </w:tcBorders>
            <w:vAlign w:val="center"/>
            <w:hideMark/>
          </w:tcPr>
          <w:p w:rsidR="00C3045E" w:rsidRDefault="00C3045E">
            <w:pPr>
              <w:rPr>
                <w:color w:val="000000"/>
                <w:lang w:eastAsia="lt-LT"/>
              </w:rPr>
            </w:pPr>
          </w:p>
        </w:tc>
        <w:tc>
          <w:tcPr>
            <w:tcW w:w="1494"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045E" w:rsidRDefault="00C3045E">
            <w:pPr>
              <w:rPr>
                <w:color w:val="000000"/>
                <w:lang w:eastAsia="lt-LT"/>
              </w:rPr>
            </w:pPr>
          </w:p>
        </w:tc>
      </w:tr>
      <w:tr w:rsidR="00C3045E" w:rsidTr="00C3045E">
        <w:trPr>
          <w:trHeight w:val="415"/>
        </w:trPr>
        <w:tc>
          <w:tcPr>
            <w:tcW w:w="2197"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Savivaldybės biudžetas (SB)</w:t>
            </w:r>
          </w:p>
        </w:tc>
        <w:tc>
          <w:tcPr>
            <w:tcW w:w="1494"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249,10</w:t>
            </w:r>
          </w:p>
        </w:tc>
        <w:tc>
          <w:tcPr>
            <w:tcW w:w="1438"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248,94</w:t>
            </w:r>
          </w:p>
        </w:tc>
        <w:tc>
          <w:tcPr>
            <w:tcW w:w="1283"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99,94</w:t>
            </w:r>
          </w:p>
        </w:tc>
        <w:tc>
          <w:tcPr>
            <w:tcW w:w="3168" w:type="dxa"/>
            <w:tcBorders>
              <w:top w:val="single" w:sz="4" w:space="0" w:color="auto"/>
              <w:left w:val="single" w:sz="4" w:space="0" w:color="auto"/>
              <w:bottom w:val="single" w:sz="4" w:space="0" w:color="auto"/>
              <w:right w:val="single" w:sz="4" w:space="0" w:color="auto"/>
            </w:tcBorders>
          </w:tcPr>
          <w:p w:rsidR="00C3045E" w:rsidRDefault="00C3045E">
            <w:pPr>
              <w:rPr>
                <w:color w:val="000000"/>
                <w:lang w:eastAsia="lt-LT"/>
              </w:rPr>
            </w:pPr>
          </w:p>
        </w:tc>
      </w:tr>
      <w:tr w:rsidR="00C3045E" w:rsidTr="00C3045E">
        <w:tc>
          <w:tcPr>
            <w:tcW w:w="2197"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Specialioji tikslinė dotacija (VB)</w:t>
            </w:r>
          </w:p>
        </w:tc>
        <w:tc>
          <w:tcPr>
            <w:tcW w:w="1494"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887,62</w:t>
            </w:r>
          </w:p>
        </w:tc>
        <w:tc>
          <w:tcPr>
            <w:tcW w:w="1438"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887,25</w:t>
            </w:r>
          </w:p>
        </w:tc>
        <w:tc>
          <w:tcPr>
            <w:tcW w:w="1283"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99,96</w:t>
            </w:r>
          </w:p>
        </w:tc>
        <w:tc>
          <w:tcPr>
            <w:tcW w:w="3168" w:type="dxa"/>
            <w:tcBorders>
              <w:top w:val="single" w:sz="4" w:space="0" w:color="auto"/>
              <w:left w:val="single" w:sz="4" w:space="0" w:color="auto"/>
              <w:bottom w:val="single" w:sz="4" w:space="0" w:color="auto"/>
              <w:right w:val="single" w:sz="4" w:space="0" w:color="auto"/>
            </w:tcBorders>
          </w:tcPr>
          <w:p w:rsidR="00C3045E" w:rsidRDefault="00C3045E">
            <w:pPr>
              <w:rPr>
                <w:color w:val="000000"/>
                <w:lang w:eastAsia="lt-LT"/>
              </w:rPr>
            </w:pPr>
          </w:p>
        </w:tc>
      </w:tr>
      <w:tr w:rsidR="00C3045E" w:rsidTr="00C3045E">
        <w:tc>
          <w:tcPr>
            <w:tcW w:w="2197"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C3045E" w:rsidRDefault="00C3045E">
            <w:pPr>
              <w:rPr>
                <w:color w:val="000000"/>
                <w:lang w:eastAsia="lt-LT"/>
              </w:rPr>
            </w:pPr>
          </w:p>
        </w:tc>
        <w:tc>
          <w:tcPr>
            <w:tcW w:w="1438" w:type="dxa"/>
            <w:tcBorders>
              <w:top w:val="single" w:sz="4" w:space="0" w:color="auto"/>
              <w:left w:val="single" w:sz="4" w:space="0" w:color="auto"/>
              <w:bottom w:val="single" w:sz="4" w:space="0" w:color="auto"/>
              <w:right w:val="single" w:sz="4" w:space="0" w:color="auto"/>
            </w:tcBorders>
          </w:tcPr>
          <w:p w:rsidR="00C3045E" w:rsidRDefault="00C3045E">
            <w:pPr>
              <w:rPr>
                <w:color w:val="000000"/>
                <w:lang w:eastAsia="lt-LT"/>
              </w:rPr>
            </w:pPr>
          </w:p>
        </w:tc>
        <w:tc>
          <w:tcPr>
            <w:tcW w:w="1283" w:type="dxa"/>
            <w:tcBorders>
              <w:top w:val="single" w:sz="4" w:space="0" w:color="auto"/>
              <w:left w:val="single" w:sz="4" w:space="0" w:color="auto"/>
              <w:bottom w:val="single" w:sz="4" w:space="0" w:color="auto"/>
              <w:right w:val="single" w:sz="4" w:space="0" w:color="auto"/>
            </w:tcBorders>
          </w:tcPr>
          <w:p w:rsidR="00C3045E" w:rsidRDefault="00C3045E">
            <w:pPr>
              <w:rPr>
                <w:color w:val="000000"/>
                <w:lang w:eastAsia="lt-LT"/>
              </w:rPr>
            </w:pPr>
          </w:p>
        </w:tc>
        <w:tc>
          <w:tcPr>
            <w:tcW w:w="3168" w:type="dxa"/>
            <w:tcBorders>
              <w:top w:val="single" w:sz="4" w:space="0" w:color="auto"/>
              <w:left w:val="single" w:sz="4" w:space="0" w:color="auto"/>
              <w:bottom w:val="single" w:sz="4" w:space="0" w:color="auto"/>
              <w:right w:val="single" w:sz="4" w:space="0" w:color="auto"/>
            </w:tcBorders>
          </w:tcPr>
          <w:p w:rsidR="00C3045E" w:rsidRDefault="00C3045E">
            <w:pPr>
              <w:rPr>
                <w:color w:val="000000"/>
                <w:lang w:eastAsia="lt-LT"/>
              </w:rPr>
            </w:pPr>
          </w:p>
        </w:tc>
      </w:tr>
      <w:tr w:rsidR="00C3045E" w:rsidTr="00C3045E">
        <w:trPr>
          <w:trHeight w:val="477"/>
        </w:trPr>
        <w:tc>
          <w:tcPr>
            <w:tcW w:w="2197"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5,06</w:t>
            </w:r>
          </w:p>
        </w:tc>
        <w:tc>
          <w:tcPr>
            <w:tcW w:w="1438"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4,46</w:t>
            </w:r>
          </w:p>
        </w:tc>
        <w:tc>
          <w:tcPr>
            <w:tcW w:w="1283"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88,13</w:t>
            </w:r>
          </w:p>
        </w:tc>
        <w:tc>
          <w:tcPr>
            <w:tcW w:w="3168"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Lėšos perkeltos į 2022 metus norint įsigyti baldus</w:t>
            </w:r>
          </w:p>
        </w:tc>
      </w:tr>
      <w:tr w:rsidR="00C3045E" w:rsidTr="00C3045E">
        <w:trPr>
          <w:trHeight w:val="125"/>
        </w:trPr>
        <w:tc>
          <w:tcPr>
            <w:tcW w:w="2197"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Projektų finansavimas (ES; VB;SB)</w:t>
            </w:r>
          </w:p>
        </w:tc>
        <w:tc>
          <w:tcPr>
            <w:tcW w:w="1494"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31,93</w:t>
            </w:r>
          </w:p>
        </w:tc>
        <w:tc>
          <w:tcPr>
            <w:tcW w:w="1438"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1,00</w:t>
            </w:r>
          </w:p>
        </w:tc>
        <w:tc>
          <w:tcPr>
            <w:tcW w:w="1283"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3,13</w:t>
            </w:r>
          </w:p>
        </w:tc>
        <w:tc>
          <w:tcPr>
            <w:tcW w:w="3168" w:type="dxa"/>
            <w:tcBorders>
              <w:top w:val="single" w:sz="4" w:space="0" w:color="auto"/>
              <w:left w:val="single" w:sz="4" w:space="0" w:color="auto"/>
              <w:bottom w:val="single" w:sz="4" w:space="0" w:color="auto"/>
              <w:right w:val="single" w:sz="4" w:space="0" w:color="auto"/>
            </w:tcBorders>
            <w:hideMark/>
          </w:tcPr>
          <w:p w:rsidR="00C3045E" w:rsidRDefault="00C3045E">
            <w:pPr>
              <w:jc w:val="both"/>
              <w:rPr>
                <w:color w:val="000000"/>
                <w:lang w:eastAsia="lt-LT"/>
              </w:rPr>
            </w:pPr>
            <w:r>
              <w:rPr>
                <w:color w:val="000000"/>
                <w:lang w:eastAsia="lt-LT"/>
              </w:rPr>
              <w:t>Projektai yra tęstiniai ir jų įgyvendinimas vyks 2022 metais</w:t>
            </w:r>
          </w:p>
        </w:tc>
      </w:tr>
      <w:tr w:rsidR="00C3045E" w:rsidTr="00C3045E">
        <w:tc>
          <w:tcPr>
            <w:tcW w:w="2197"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 xml:space="preserve">Kitos lėšos (parama </w:t>
            </w:r>
            <w:r>
              <w:rPr>
                <w:color w:val="000000"/>
                <w:lang w:eastAsia="lt-LT"/>
              </w:rPr>
              <w:lastRenderedPageBreak/>
              <w:t>2 % GM ir kt.)</w:t>
            </w:r>
          </w:p>
        </w:tc>
        <w:tc>
          <w:tcPr>
            <w:tcW w:w="1494"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lastRenderedPageBreak/>
              <w:t>8,86</w:t>
            </w:r>
          </w:p>
        </w:tc>
        <w:tc>
          <w:tcPr>
            <w:tcW w:w="1438"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1,20</w:t>
            </w:r>
          </w:p>
        </w:tc>
        <w:tc>
          <w:tcPr>
            <w:tcW w:w="1283"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13,52</w:t>
            </w:r>
          </w:p>
        </w:tc>
        <w:tc>
          <w:tcPr>
            <w:tcW w:w="3168" w:type="dxa"/>
            <w:tcBorders>
              <w:top w:val="single" w:sz="4" w:space="0" w:color="auto"/>
              <w:left w:val="single" w:sz="4" w:space="0" w:color="auto"/>
              <w:bottom w:val="single" w:sz="4" w:space="0" w:color="auto"/>
              <w:right w:val="single" w:sz="4" w:space="0" w:color="auto"/>
            </w:tcBorders>
            <w:hideMark/>
          </w:tcPr>
          <w:p w:rsidR="00C3045E" w:rsidRDefault="00C3045E">
            <w:pPr>
              <w:jc w:val="both"/>
              <w:rPr>
                <w:color w:val="000000"/>
                <w:lang w:eastAsia="lt-LT"/>
              </w:rPr>
            </w:pPr>
            <w:r>
              <w:rPr>
                <w:color w:val="000000"/>
                <w:lang w:eastAsia="lt-LT"/>
              </w:rPr>
              <w:t xml:space="preserve">Lėšos naudojamos pagal </w:t>
            </w:r>
            <w:r>
              <w:rPr>
                <w:color w:val="000000"/>
                <w:lang w:eastAsia="lt-LT"/>
              </w:rPr>
              <w:lastRenderedPageBreak/>
              <w:t>poreikį bei su progimnazijos bendruomene aptartoms veiklos įgyvendinti</w:t>
            </w:r>
          </w:p>
        </w:tc>
      </w:tr>
      <w:tr w:rsidR="00C3045E" w:rsidTr="00C3045E">
        <w:trPr>
          <w:trHeight w:val="430"/>
        </w:trPr>
        <w:tc>
          <w:tcPr>
            <w:tcW w:w="2197"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lastRenderedPageBreak/>
              <w:t>Iš viso</w:t>
            </w:r>
          </w:p>
        </w:tc>
        <w:tc>
          <w:tcPr>
            <w:tcW w:w="1494"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1.182,57</w:t>
            </w:r>
          </w:p>
        </w:tc>
        <w:tc>
          <w:tcPr>
            <w:tcW w:w="1438"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1.142,85</w:t>
            </w:r>
          </w:p>
        </w:tc>
        <w:tc>
          <w:tcPr>
            <w:tcW w:w="1283"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96,64</w:t>
            </w:r>
          </w:p>
        </w:tc>
        <w:tc>
          <w:tcPr>
            <w:tcW w:w="3168" w:type="dxa"/>
            <w:tcBorders>
              <w:top w:val="single" w:sz="4" w:space="0" w:color="auto"/>
              <w:left w:val="single" w:sz="4" w:space="0" w:color="auto"/>
              <w:bottom w:val="single" w:sz="4" w:space="0" w:color="auto"/>
              <w:right w:val="single" w:sz="4" w:space="0" w:color="auto"/>
            </w:tcBorders>
          </w:tcPr>
          <w:p w:rsidR="00C3045E" w:rsidRDefault="00C3045E">
            <w:pPr>
              <w:rPr>
                <w:color w:val="000000"/>
                <w:lang w:eastAsia="lt-LT"/>
              </w:rPr>
            </w:pPr>
          </w:p>
        </w:tc>
      </w:tr>
      <w:tr w:rsidR="00C3045E" w:rsidTr="00C3045E">
        <w:tc>
          <w:tcPr>
            <w:tcW w:w="5129" w:type="dxa"/>
            <w:gridSpan w:val="3"/>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0,02</w:t>
            </w:r>
          </w:p>
        </w:tc>
        <w:tc>
          <w:tcPr>
            <w:tcW w:w="3168" w:type="dxa"/>
            <w:tcBorders>
              <w:top w:val="single" w:sz="4" w:space="0" w:color="auto"/>
              <w:left w:val="single" w:sz="4" w:space="0" w:color="auto"/>
              <w:bottom w:val="single" w:sz="4" w:space="0" w:color="auto"/>
              <w:right w:val="single" w:sz="4" w:space="0" w:color="auto"/>
            </w:tcBorders>
            <w:hideMark/>
          </w:tcPr>
          <w:p w:rsidR="00C3045E" w:rsidRDefault="00C3045E">
            <w:pPr>
              <w:rPr>
                <w:color w:val="000000"/>
                <w:lang w:eastAsia="lt-LT"/>
              </w:rPr>
            </w:pPr>
            <w:r>
              <w:rPr>
                <w:color w:val="000000"/>
                <w:lang w:eastAsia="lt-LT"/>
              </w:rPr>
              <w:t>Už gruodžio mėnesio ryšio paslaugas sąskaitos gaunamos tik sausio mėnesį</w:t>
            </w:r>
          </w:p>
        </w:tc>
      </w:tr>
    </w:tbl>
    <w:p w:rsidR="00C3045E" w:rsidRDefault="00C3045E" w:rsidP="00C3045E">
      <w:pPr>
        <w:tabs>
          <w:tab w:val="left" w:pos="573"/>
        </w:tabs>
        <w:jc w:val="both"/>
        <w:rPr>
          <w:rFonts w:eastAsiaTheme="minorHAnsi"/>
        </w:rPr>
      </w:pPr>
    </w:p>
    <w:p w:rsidR="00C3045E" w:rsidRDefault="00C3045E" w:rsidP="00C3045E">
      <w:pPr>
        <w:ind w:right="-22" w:firstLine="603"/>
        <w:jc w:val="both"/>
        <w:rPr>
          <w:color w:val="000000" w:themeColor="text1"/>
        </w:rPr>
      </w:pPr>
      <w:r>
        <w:rPr>
          <w:color w:val="000000" w:themeColor="text1"/>
        </w:rPr>
        <w:t>Progimnazijoje 2021 m. buvo atlikti patikrinimai: dėl užsienio kalbos (vokiečių) valstybinio brandos egzamino vykdymo (Klaipėdos miesto savivaldybės administracijos Švietimo skyrius pažeidimų nenustatė); dėl karantino režimo priemonių laikymosi kontrolės (Nacionalinis visuomenės sveikatos centras prie Sveikatos apsaugos ministerijos pažeidimų nenustatė).</w:t>
      </w:r>
    </w:p>
    <w:p w:rsidR="00C3045E" w:rsidRDefault="00C3045E" w:rsidP="00C3045E">
      <w:pPr>
        <w:ind w:right="-22" w:firstLine="603"/>
        <w:jc w:val="both"/>
        <w:rPr>
          <w:color w:val="000000" w:themeColor="text1"/>
          <w:lang w:eastAsia="lt-LT"/>
        </w:rPr>
      </w:pPr>
      <w:r>
        <w:rPr>
          <w:color w:val="000000" w:themeColor="text1"/>
        </w:rPr>
        <w:t>2021 m. progimnazijoje liko neišspręstos tokios vidaus ir išorės faktorių sąlygotos problemos:</w:t>
      </w:r>
    </w:p>
    <w:p w:rsidR="00C3045E" w:rsidRDefault="00C3045E" w:rsidP="00C3045E">
      <w:pPr>
        <w:pStyle w:val="Sraopastraipa"/>
        <w:numPr>
          <w:ilvl w:val="0"/>
          <w:numId w:val="1"/>
        </w:numPr>
        <w:tabs>
          <w:tab w:val="left" w:pos="856"/>
        </w:tabs>
        <w:ind w:left="5" w:firstLine="562"/>
        <w:jc w:val="both"/>
        <w:rPr>
          <w:color w:val="000000" w:themeColor="text1"/>
          <w:szCs w:val="24"/>
        </w:rPr>
      </w:pPr>
      <w:r>
        <w:rPr>
          <w:color w:val="000000" w:themeColor="text1"/>
        </w:rPr>
        <w:t>Grįžę mokytis į progimnaziją po nuotolinio mokymosi mokiniai patyrė daug socialinių, emocinių, psichologinių problemų. Kad galėtume padėti mokiniams, reikėjo organizuoti papildomų socialinių užsiėmimų, įvairių bendravimo ir bendradarbiavimo ugdymo mokymų. Norint įgyvendinti šias socialinio ugdymo priemones, didėja krūvis specialistams, mokytojams, vadovams;</w:t>
      </w:r>
    </w:p>
    <w:p w:rsidR="00C3045E" w:rsidRDefault="00C3045E" w:rsidP="00C3045E">
      <w:pPr>
        <w:ind w:firstLine="567"/>
        <w:jc w:val="both"/>
        <w:rPr>
          <w:color w:val="000000" w:themeColor="text1"/>
        </w:rPr>
      </w:pPr>
      <w:r>
        <w:rPr>
          <w:color w:val="000000" w:themeColor="text1"/>
        </w:rPr>
        <w:t>2. Būtina pakeisti grindų dangą kabinetuose, sutvarkyti pastato laiptinę, baigti tvarkyti elektros instaliaciją I aukšte. Progimnazijos kiemas neatitinka saugumo reikalavimų, nėra poilsiui ar aktyviai fizinei veiklai skirtų zonų.</w:t>
      </w:r>
    </w:p>
    <w:p w:rsidR="00C3045E" w:rsidRDefault="00C3045E" w:rsidP="00C3045E">
      <w:pPr>
        <w:ind w:left="573" w:hanging="6"/>
        <w:jc w:val="both"/>
        <w:rPr>
          <w:rFonts w:eastAsiaTheme="minorHAnsi"/>
          <w:bCs/>
          <w:iCs/>
          <w:color w:val="000000" w:themeColor="text1"/>
        </w:rPr>
      </w:pPr>
      <w:r>
        <w:rPr>
          <w:color w:val="000000" w:themeColor="text1"/>
        </w:rPr>
        <w:t>2022 m. suformuluotas strateginis tikslas – s</w:t>
      </w:r>
      <w:r>
        <w:rPr>
          <w:rFonts w:eastAsiaTheme="minorHAnsi"/>
          <w:color w:val="000000" w:themeColor="text1"/>
          <w:shd w:val="clear" w:color="auto" w:fill="FFFFFF"/>
        </w:rPr>
        <w:t xml:space="preserve">avarankiškos, brandžios asmenybės ugdymas. </w:t>
      </w:r>
      <w:r>
        <w:rPr>
          <w:color w:val="000000" w:themeColor="text1"/>
        </w:rPr>
        <w:t xml:space="preserve">Prioritetas – </w:t>
      </w:r>
      <w:r>
        <w:rPr>
          <w:rFonts w:eastAsiaTheme="minorHAnsi"/>
          <w:bCs/>
          <w:iCs/>
          <w:color w:val="000000" w:themeColor="text1"/>
        </w:rPr>
        <w:t xml:space="preserve">skaitmeninių priemonių naudojimo efektyvinimas. </w:t>
      </w:r>
    </w:p>
    <w:p w:rsidR="00C3045E" w:rsidRDefault="00C3045E" w:rsidP="00C3045E">
      <w:pPr>
        <w:ind w:left="573" w:hanging="6"/>
        <w:jc w:val="both"/>
        <w:rPr>
          <w:color w:val="000000" w:themeColor="text1"/>
        </w:rPr>
      </w:pPr>
      <w:r>
        <w:rPr>
          <w:color w:val="000000" w:themeColor="text1"/>
        </w:rPr>
        <w:t>Metiniai veiklos tikslai:</w:t>
      </w:r>
    </w:p>
    <w:p w:rsidR="00C3045E" w:rsidRDefault="00C3045E" w:rsidP="00C3045E">
      <w:pPr>
        <w:numPr>
          <w:ilvl w:val="1"/>
          <w:numId w:val="2"/>
        </w:numPr>
        <w:tabs>
          <w:tab w:val="left" w:pos="426"/>
          <w:tab w:val="left" w:pos="739"/>
          <w:tab w:val="left" w:pos="881"/>
        </w:tabs>
        <w:ind w:left="30" w:firstLine="567"/>
        <w:contextualSpacing/>
        <w:jc w:val="both"/>
        <w:rPr>
          <w:color w:val="000000" w:themeColor="text1"/>
        </w:rPr>
      </w:pPr>
      <w:r>
        <w:rPr>
          <w:bCs/>
          <w:iCs/>
          <w:color w:val="000000" w:themeColor="text1"/>
        </w:rPr>
        <w:t>Kokybiškas virtualių ir nuotoliniam mokymui(si) skirtų platformų naudojimas progimnazijos veikloje;</w:t>
      </w:r>
    </w:p>
    <w:p w:rsidR="00C3045E" w:rsidRDefault="00C3045E" w:rsidP="00C3045E">
      <w:pPr>
        <w:tabs>
          <w:tab w:val="left" w:pos="573"/>
        </w:tabs>
        <w:jc w:val="both"/>
        <w:rPr>
          <w:rFonts w:eastAsiaTheme="minorHAnsi"/>
        </w:rPr>
      </w:pPr>
      <w:r>
        <w:rPr>
          <w:bCs/>
          <w:iCs/>
          <w:color w:val="000000" w:themeColor="text1"/>
        </w:rPr>
        <w:tab/>
        <w:t>2. Bendruomenės narių socializacijos stiprinimas įgyvendinant projektų veiklas.</w:t>
      </w:r>
    </w:p>
    <w:p w:rsidR="00C3045E" w:rsidRDefault="00C3045E" w:rsidP="00C3045E">
      <w:pPr>
        <w:jc w:val="both"/>
      </w:pPr>
    </w:p>
    <w:p w:rsidR="00C3045E" w:rsidRDefault="00C3045E" w:rsidP="00C3045E">
      <w:pPr>
        <w:jc w:val="both"/>
      </w:pPr>
    </w:p>
    <w:p w:rsidR="00C3045E" w:rsidRDefault="00C3045E" w:rsidP="00C3045E">
      <w:pPr>
        <w:jc w:val="both"/>
      </w:pPr>
      <w:r>
        <w:t xml:space="preserve">Direktorė </w:t>
      </w:r>
      <w:r>
        <w:tab/>
      </w:r>
      <w:r>
        <w:tab/>
      </w:r>
      <w:r>
        <w:tab/>
      </w:r>
      <w:r>
        <w:tab/>
      </w:r>
      <w:r>
        <w:tab/>
        <w:t xml:space="preserve">          Inga Kurlavičienė</w:t>
      </w:r>
    </w:p>
    <w:p w:rsidR="004C067A" w:rsidRDefault="004C067A" w:rsidP="00C3045E">
      <w:pPr>
        <w:jc w:val="center"/>
      </w:pPr>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C24F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75CC9"/>
    <w:multiLevelType w:val="multilevel"/>
    <w:tmpl w:val="E9EC8E0E"/>
    <w:lvl w:ilvl="0">
      <w:start w:val="1"/>
      <w:numFmt w:val="decimal"/>
      <w:lvlText w:val="%1."/>
      <w:lvlJc w:val="left"/>
      <w:pPr>
        <w:ind w:left="360" w:hanging="360"/>
      </w:pPr>
      <w:rPr>
        <w:color w:val="auto"/>
      </w:rPr>
    </w:lvl>
    <w:lvl w:ilvl="1">
      <w:start w:val="1"/>
      <w:numFmt w:val="decimal"/>
      <w:lvlText w:val="%2."/>
      <w:lvlJc w:val="left"/>
      <w:pPr>
        <w:ind w:left="792" w:hanging="432"/>
      </w:pPr>
      <w:rPr>
        <w:rFonts w:ascii="Times New Roman" w:eastAsia="Times New Roman" w:hAnsi="Times New Roman" w:cs="Times New Roman"/>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95003E8"/>
    <w:multiLevelType w:val="multilevel"/>
    <w:tmpl w:val="DC229804"/>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4C24F2"/>
    <w:rsid w:val="00597EE8"/>
    <w:rsid w:val="005B434A"/>
    <w:rsid w:val="005F495C"/>
    <w:rsid w:val="00616F5A"/>
    <w:rsid w:val="00677042"/>
    <w:rsid w:val="007B1666"/>
    <w:rsid w:val="00832CC9"/>
    <w:rsid w:val="008354D5"/>
    <w:rsid w:val="008E6E82"/>
    <w:rsid w:val="00A339BB"/>
    <w:rsid w:val="00AF7D08"/>
    <w:rsid w:val="00B750B6"/>
    <w:rsid w:val="00C3045E"/>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8E717"/>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C3045E"/>
    <w:pPr>
      <w:ind w:left="720"/>
      <w:contextualSpacing/>
    </w:pPr>
    <w:rPr>
      <w:szCs w:val="20"/>
    </w:rPr>
  </w:style>
  <w:style w:type="table" w:customStyle="1" w:styleId="Lentelstinklelis1">
    <w:name w:val="Lentelės tinklelis1"/>
    <w:basedOn w:val="prastojilentel"/>
    <w:uiPriority w:val="39"/>
    <w:rsid w:val="00C3045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535272652">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6062</Words>
  <Characters>3456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16</cp:revision>
  <dcterms:created xsi:type="dcterms:W3CDTF">2013-10-25T06:49:00Z</dcterms:created>
  <dcterms:modified xsi:type="dcterms:W3CDTF">2022-04-29T06:52:00Z</dcterms:modified>
</cp:coreProperties>
</file>